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369</w:t>
      </w:r>
    </w:p>
    <w:p>
      <w:r>
        <w:t>Bundesgericht (BGE), 2021-07-20, DE</w:t>
      </w:r>
    </w:p>
    <w:p>
      <w:r>
        <w:rPr>
          <w:b/>
        </w:rPr>
        <w:t xml:space="preserve">Quelle: </w:t>
      </w:r>
      <w:r>
        <w:t>https://mcp.opencaselaw.ch/entscheid/bge_147 V 369</w:t>
      </w:r>
    </w:p>
    <w:p>
      <w:r>
        <w:t>FR: ATF 147 V 369</w:t>
      </w:r>
    </w:p>
    <w:p>
      <w:r>
        <w:t>IT: DTF 147 V 369</w:t>
      </w:r>
    </w:p>
    <w:p>
      <w:pPr>
        <w:pStyle w:val="Heading2"/>
      </w:pPr>
      <w:r>
        <w:t>Regeste</w:t>
      </w:r>
    </w:p>
    <w:p>
      <w:r>
        <w:t>Regeste Art. 25 Abs. 1 ATSG und Art. 2 Abs. 1 lit. b ATSV; Rückerstattungspflicht. Der Krankenversicherer ist für die Entgegennahme von Ergänzungsleistungen im Rahmen von Art. 21a ELG (Pauschalbetrag für die obligatorische Krankenpflegeversicherung) als blosse Inkasso- resp. Zahlstelle zu qualifizieren. Folglich trifft ihn diesbezüglich keine Rückerstattungspflicht (E. 4.3.3).</w:t>
      </w:r>
    </w:p>
    <w:p>
      <w:pPr>
        <w:pStyle w:val="Heading2"/>
      </w:pPr>
      <w:r>
        <w:t>Erwägungen</w:t>
      </w:r>
    </w:p>
    <w:p>
      <w:r>
        <w:rPr>
          <w:b/>
        </w:rPr>
        <w:t>E. 2.1</w:t>
      </w:r>
    </w:p>
    <w:p>
      <w:r>
        <w:t>Nach den allgemeinen intertemporalrechtlichen Grundsätzen (vgl. BGE 140 V 41 E. 6.3.1 mit Hinweisen) sind hier die Bestimmungen des ATSG (SR 830.1), der ATSV (SR 830.11), des ELG(SR 831.30) und der ELV (SR 831.301) in der bis Ende 2020 geltenden Fassung anwendbar. Sie werden im Folgenden jeweils in dieser Version wiedergegeben, zitiert und angewendet.</w:t>
      </w:r>
    </w:p>
    <w:p>
      <w:r>
        <w:rPr>
          <w:b/>
        </w:rPr>
        <w:t>E. 2.2</w:t>
      </w:r>
    </w:p>
    <w:p>
      <w:r>
        <w:t>Unrechtmässig bezogene Leistungen sind zurückzuerstatten. Wer Leistungen in gutem Glauben empfangen hat, muss sie nicht zurückerstatten, wenn eine grosse Härte vorliegt ( Art. 25 Abs. 1 ATSG , hier i.V.m. Art. 1 Abs. 1 ELG ). Rückerstattungspflichtig sind insbesondere der Bezüger der unrechtmässig gewährten Leistungen und Dritte oder Behörden, mit Ausnahme des Vormundes oder der Vormundin, denen Geldleistungen zur Gewährleistung zweckgemässer Verwendung nach Art. 20 ATSG oder den Bestimmungen der Einzelgesetze ausbezahlt wurden ( Art. 2 Abs. 1 lit. a und b ATSV ). Der Anspruch des Versicherers auf Rückerstattung richtet sich im Umfang, in welchem die unrechtmässig gewährten Leistungen gemäss der Regelung der einzelnen Sozialversicherungen mit Nachzahlungen anderer Sozialversicherungen verrechnet werden können, gegen den nachzahlungspflichtigen Versicherer ( Art. 2 Abs. 3 ATSV ). Wer unrechtmässige Leistungen lediglich als Inkasso- oder Zahlstelle entgegengenommen hat, ist nicht rückerstattungspflichtig ( BGE 140 V 233 E. 3.1 und 3.3; BGE 118 V 214 E. 4a; BGE 147 V 369 S. 372 BGE 110 V 10 E. 2b; vgl. auch BGE 142 V 358 mit Blick auf Art. 35a BVG ).</w:t>
      </w:r>
    </w:p>
    <w:p>
      <w:r>
        <w:rPr>
          <w:b/>
        </w:rPr>
        <w:t>E. 3.1</w:t>
      </w:r>
    </w:p>
    <w:p>
      <w:r>
        <w:t>Das kantonale Gericht hat erwogen, für die jährlichen Pauschalbeträge, die direkt der Visana ausbezahlt worden waren, sei diese rückerstattungspflichtig gewesen. Ihr gegenüber sei ein Erlass der Rückforderung ausgeschlossen. Der Versicherte sei von der Rückerstattungspflicht des Krankenversicherers nicht berührt und erleide keinen direkten Nachteil, auch wenn er sich in der Folge mit einer "gleichsam originären" Prämienforderung der Visana konfrontiert sehe. Die Ausgleichskasse habe die Pauschalbeträge gar nie vom Beschwerdeführer zurückgefordert. Am Erlass einer nicht gegen ihn gerichteten Forderung sei ihm von vornherein ein Rechtsschutzinteresse abgegangen. Die Ausgleichskasse sei daher zu Recht nicht auf das Erlassgesuch vom März 2020 eingetreten.</w:t>
      </w:r>
    </w:p>
    <w:p>
      <w:r>
        <w:rPr>
          <w:b/>
        </w:rPr>
        <w:t>E. 3.2</w:t>
      </w:r>
    </w:p>
    <w:p>
      <w:r>
        <w:t>Der Beschwerdeführer macht im Wesentlichen geltend, die Vorinstanz habe verkannt, dass die Visana bei der Entgegennahme der jährlichen Pauschalbeträge als reine Zahl- resp. Inkassostelle fungiert habe. Die entsprechende Rückforderung hätte daher nicht an den Krankenversicherer gerichtet werden dürfen, vielmehr hätte sie gegenüber ihm erfolgen müssen. Er könne sich, im Gegensatz zur Visana, hinsichtlich der Rückerstattung auf eine grosse Härte berufen. Damit habe die Ausgleichskasse auch sein Erlassgesuch zu beurteilen.</w:t>
      </w:r>
    </w:p>
    <w:p>
      <w:r>
        <w:rPr>
          <w:b/>
        </w:rPr>
        <w:t>E. 4.1</w:t>
      </w:r>
    </w:p>
    <w:p>
      <w:r>
        <w:t>In Bezug auf die Rückerstattungspflicht einerseits und den Anspruch auf Erlass der Rückerstattungsschuld anderseits liegen unterschiedliche Rechtsverhältnisse (vgl. zu diesem Begriff BGE 125 V 413 ) vor (vgl. SVR 2015 AHV Nr. 10 S. 35, 9C_466/2014 E. 3.1; Urteil 8C_77/2018 vom 30. April 2018 E. 3.2; vgl. auch UELI KIESER, Kommentar zum ATSG, 4. Aufl. 2020, N. 76 zu Art. 25 ATSG ; JOHANNA DORMANN, in: Basler Kommentar, Allgemeiner Teil des Sozialversicherungsrechts, 2020, N. 93 zu Art. 25 ATSG ; SYLVIE PÉTREMAND, in: Commentaire romand, Loi sur la partie générale des assurances sociales, 2018, N. 61 zu Art. 25 ATSG ). Der Erlass ist eine besondere Form der Tilgung einer Rückerstattungsschuld ( BGE 116 V 290 E. 5b; vgl. auch DORMANN, a.a.O., N. 70 und 81 zu Art. 25 ATSG ). Er fällt somit überhaupt erst in Betracht, wenn und soweit eine Rückerstattungspflicht der um Erlass ersuchenden Person rechtsbeständig feststeht. BGE 147 V 369 S. 373 Die vorinstanzliche Feststellung, wonach die Ausgleichskasse die hier interessierende Rückerstattung nicht vom Beschwerdeführer gefordert habe, ist unbestritten und für das Bundesgericht verbindlich (nicht publ. E. 1). Unter diesen Umständen bestand in der Tat kein Anlass, auf das Erlassgesuch (im Sinne von Art. 25 Abs. 1 Satz 2 ATSG ) einzutreten. Abgesehen davon kann sich von vornherein nicht auf einen wirtschaftlichen Härtefall berufen, wer im Zusammenhang mit der Nachzahlung einer Sozialversicherungsleistung mit einer kompensatorischen Rückforderung rechnete oder rechnen musste (SVR 2018 EL Nr. 7 S. 17, 9C_728/2016 E. 1.2 und 2.4). Insoweit ist die Beschwerde unbegründet. Näher zu betrachten ist indessen die Rückerstattungspflicht der Visana.</w:t>
      </w:r>
    </w:p>
    <w:p>
      <w:r>
        <w:rPr>
          <w:b/>
        </w:rPr>
        <w:t>E. 4.2.1</w:t>
      </w:r>
    </w:p>
    <w:p>
      <w:r>
        <w:t>Rechtsbegehren sind nach Treu und Glauben auszulegen, insbesondere im Lichte der dazu gegebenen Begründung. Eine sichtlich ungewollte oder unbeholfene Wortwahl der am Recht stehenden Person schadet ebenso wenig wie eine nicht geglückte oder rechtsirrtümliche Ausdrucksweise. Es genügt, wenn der Beschwerde insgesamt entnommen werden kann, was die beschwerdeführende Person verlangt (Urteil 8C_62/2018 vom 19. September 2018 E. 1.2.2, nicht publ. in: BGE 144 V 418 , mit Hinweisen). Verwaltungsverfügungen (resp. Einspracheentscheide) sind nicht nach ihrem bisweilen nicht sehr treffend verfassten Wortlaut, sondern - vorbehältlich des (hier nicht interessierenden) Vertrauensschutzes - nach ihrem wirklichen rechtlichen Bedeutungsgehalt zu verstehen ( BGE 141 V 255 E. 1.2; BGE 132 V 74 E. 2; BGE 120 V 496 E. 1a; Urteil 9C_777/2019 vom 24. November 2020 E. 5.2.1, nicht publ. in: BGE 147 V 73 ).</w:t>
      </w:r>
    </w:p>
    <w:p>
      <w:r>
        <w:rPr>
          <w:b/>
        </w:rPr>
        <w:t>E. 4.2.2</w:t>
      </w:r>
    </w:p>
    <w:p>
      <w:r>
        <w:t>Der Versicherte verfolgt(e) klar das - grundsätzlich legitime - Ziel, den Prämiennachforderungen der Visana zu entgehen. Bereits im Verwaltungsverfahren brachte er u.a. vor, dass die Visana die jährlichen Pauschalbeträge von der Ausgleichskasse lediglich als reine Zahlstelle entgegengenommen habe und darum gar nicht rückerstattungspflichtig gewesen sei; diesbezüglich hätte eine Verfügung erlassen werden müssen; er habe keine Gelegenheit gehabt, gegen die Rückerstattung durch die Visana vorzugehen. Mit diesem Angriff auf die Rückerstattungspflicht des Krankenversicherers an sich (vgl. Art. 25 Abs. 1 Satz 1 ATSG ) verlangte der Versicherte - alternativ resp. eventualiter zum Erlass im Sinne von Art. 25 Abs. 1 Satz 2 ATSG - wenn auch nicht ausdrücklich, so BGE 147 V 369 S. 374 doch unmissverständlich die "Rückabwicklung" der bereits erfolgten Rückerstattung, d.h. die erneute Zahlung der Pauschalbeträge an die Visana durch die Ausgleichskasse.</w:t>
      </w:r>
    </w:p>
    <w:p>
      <w:r>
        <w:rPr>
          <w:b/>
        </w:rPr>
        <w:t>E. 4.2.3</w:t>
      </w:r>
    </w:p>
    <w:p>
      <w:r>
        <w:t>Ob die Ausgleichskasse den Beschwerdeführer bereits vor der Rückerstattung durch den Krankenversicherer in das entsprechende Verfahren hätte einbeziehen müssen (vgl. zu den Verfahrensrechten der versicherten Person bei Rückforderungen von Dritten Rz. 4660.02 der Wegleitung des BSV über die Ergänzungsleistungen zur AHV und IV [WEL]; KIESER, a.a.O., N. 56 zu Art. 25 ATSG ; DORMANN, a.a.O., N. 94 zu Art. 25 ATSG ), kann offenbleiben. Sie äusserte sich in ihrer Verfügung vom 29. Juni 2020 und ihrem Einspracheentscheid vom 13. Juli 2020 zwar nicht dispositivmässig zur Rückerstattungspflicht des Krankenversicherers und zur beantragten "Rückabwicklung". Indessen befasste sie sich dennoch damit: Indem sie in ihren jeweiligen Erwägungen die Rückerstattungspflicht der Visana bejahte, verneinte sie gleichzeitig implizit, aber (unter Vorbehalt der Anfechtung) verbindlich einen Anspruch auf erneute Zahlung der Pauschalbeträge. Dieses Rechtsverhältnis bildete auch Gegenstand des vorinstanzlichen Urteils (vgl. vorangehende E. 3.1). Im vorliegenden Verfahren verlangt der Beschwerdeführer sinngemäss wiederum (auch), dass die Ausgleichskasse verpflichtet werden soll, die Pauschalbeträge (Fr. 12'961.20) erneut zu bezahlen, wie sich aus der Beschwerdebegründung deutlich ergibt.</w:t>
      </w:r>
    </w:p>
    <w:p>
      <w:r>
        <w:rPr>
          <w:b/>
        </w:rPr>
        <w:t>E. 4.3.1</w:t>
      </w:r>
    </w:p>
    <w:p>
      <w:r>
        <w:t>Als reines Inkasso- resp. Zahlstellenverhältnis beurteilte das Bundesgericht etwa die Entgegennahme von Leistungen durch eine Bank ( BGE 110 V 10 E. 2b), von Kinderrenten durch den Sozialdienst, die dieser direkt an den Inhaber der elterlichen Gewalt weiterleitet ( BGE 118 V 214 E. 4a), oder von Familienzulagen durch den Arbeitgeber, sofern er sie nicht zur Verwaltung bzw. mit dem Auftrag, fürsorgerisch tätig zu sein, erhalten hat ( BGE 140 V 233 E. 3.1 und 3.3). Nicht als blosse Inkasso- resp. Zahlstelle und damit als rückerstattungspflichtige Drittperson resp. Behörde erachtete das Bundesgericht beispielsweise den Sozialdienst, dem die Stammrente zur Verwaltung für die Versicherte ausgerichtet wird ( BGE 118 V 214 E. 4a), und die Arbeitgeberin, die während der Dienstleistung des Arbeitnehmers den Lohn weiterhin bezahlt und damit die entgegengenommene Erwerbsausfallentschädigung verrechnet ( BGE 142 V 43 E. 3.1). BGE 147 V 369 S. 375 Entscheidendes Kriterium für die Abgrenzung war stets das Vorhandensein von Rechten und Pflichten im Zusammenhang mit dem Leistungsverhältnis. Es besteht kein Anlass zur Änderung dieser Rechtsprechung (vgl. BGE 145 V 304 E. 4.4; BGE 141 II 297 E. 5.5.1).</w:t>
      </w:r>
    </w:p>
    <w:p>
      <w:r>
        <w:rPr>
          <w:b/>
        </w:rPr>
        <w:t>E. 4.3.2</w:t>
      </w:r>
    </w:p>
    <w:p>
      <w:r>
        <w:t>Bei der Berechnung der jährlichen Ergänzungsleistung ist ein jährlicher Pauschalbetrag für die obligatorische Krankenpflegeversicherung als anerkannte Ausgabe zu berücksichtigen (Art. 9 Abs. 1 i.V.m. Art. 10 Abs. 3 lit. d ELG ). Der Pauschalbetrag ist in Abweichung von Art. 20 ATSG direkt dem Krankenversicherer auszuzahlen ( Art. 21a ELG ). Dieser bezahlt der versicherten Person die Differenz aus, wenn seine restlichen Prämienforderungen für das laufende Kalenderjahr und seine anderen fälligen Forderungen aus der obligatorischen Krankenpflegeversicherung, für die kein Verlustschein vorliegt, kleiner sind als der vom Kanton gewährte Pauschalbetrag nach Art. 10 Abs. 3 lit. d ELG ( Art. 106c Abs. 5 lit. b KVV [SR 832.102]). Art. 65 Abs. 1 KVG , der die direkte Auszahlung der Prämienverbilligung an den Krankenversicherer vorsieht, garantiert, dass die Beiträge tatsächlich zum Zweck der Prämienverbilligung resp. der Begleichung von Krankenversicherungsprämien für die Anspruchsberechtigten eingesetzt werden. Zudem vermindert dieses System das Risiko der Zahlungsausstände bei den Versicherten (Bericht der Kommission für soziale Sicherheit und Gesundheit des Nationalrates vom 28. August 2009 zur Parlamentarischen Initiative Artikel 64a KVG und unbezahlte Prämien, BBl 2009 6623 Kommentar zu Art. 65 Abs. 1 KVG ). Das gilt analog für Art. 21a ELG , der erst anlässlich der Beratungen der soeben erwähnten Parlamentarischen Initiative in den Eidgenössischen Räten formuliert und beschlossen wurde (AB 2010 N 49 f.; AB 2010 S 170; vgl. auch Botschaft vom 16. September 2016 zur Änderung des Bundesgesetzes über Ergänzungsleistungen zur Alters-, Hinterlassenen- und Invalidenversicherung [EL-Reform], BBl 2016 7540 Kommentar zu Art. 21a ELG ).</w:t>
      </w:r>
    </w:p>
    <w:p>
      <w:r>
        <w:rPr>
          <w:b/>
        </w:rPr>
        <w:t>E. 4.3.3</w:t>
      </w:r>
    </w:p>
    <w:p>
      <w:r>
        <w:t>Damit besteht - im hier interessierenden Zusammenhang - die einzige Verpflichtung des Krankenversicherers darin, die Zahlungen von der Ausgleichskasse zur Anrechnung an ihre Forderungen gegenüber dem Versicherten entgegenzunehmen und einen allfälligen Überschuss an diesen weiterzuleiten. Dass er eigene Rechte und Pflichten im Zusammenhang mit dem Leistungsverhältnis (wie Verrechnungsrecht, Verwaltungs- oder Fürsorgepflicht) haben soll, bringt die Ausgleichskasse nicht vor und ist auch nicht ersichtlich. BGE 147 V 369 S. 376 Demnach ist dem Beschwerdeführer beizupflichten, dass die Visana für die Entgegennahme der jährlichen Pauschalbeträge von der Ausgleichskasse als blosse Inkasso- resp. Zahlstelle zu qualifizieren ist. Folglich trifft sie diesbezüglich auch keine Rückerstattungspflicht als Drittperson oder Behörde im Sinne von Art. 2 Abs. 1 lit. b ATSV . Entgegen der vorinstanzlichen Auffassung ist die dazu im Widerspruch stehende Weisung von Rz. 4660.02 WEL bundesrechtswidrig (vgl. zur Bedeutung von Verwaltungsweisungen BGE 145 V 84 E. 6.1.1; BGE 142 V 442 E. 5.2).</w:t>
      </w:r>
    </w:p>
    <w:p>
      <w:r>
        <w:rPr>
          <w:b/>
        </w:rPr>
        <w:t>E. 4.4</w:t>
      </w:r>
    </w:p>
    <w:p>
      <w:r>
        <w:t>Nach dem Gesagten hätte die Ausgleichskasse die Rückforderung auch der Pauschalbeträge gegenüber dem Versicherten oder (ohne dass hier abschliessend darüber zu entscheiden ist) der nachzahlenden Vorsorgeeinrichtung geltend machen müssen. Sie kann dies nicht mehr nachholen, nachdem die (relative) einjährige Frist von Art. 25 Abs. 2 ATSG offensichtlich verwirkt ist. Diesbezüglich entfällt somit auch die Möglichkeit einer Verrechnung mit der "Rückabwicklung" resp. erneuten Leistung der Pauschalbeträge. Dass diese aus einem anderen Grund nicht möglich sein soll, ist nicht ersichtlich und wird auch nicht ansatzweise geltend gemacht. In diesem Sinn ist die Beschwerde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